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jc w:val="center"/>
        <w:rPr/>
      </w:pPr>
      <w:bookmarkStart w:colFirst="0" w:colLast="0" w:name="_e6p278jbc78" w:id="0"/>
      <w:bookmarkEnd w:id="0"/>
      <w:r w:rsidDel="00000000" w:rsidR="00000000" w:rsidRPr="00000000">
        <w:rPr>
          <w:rtl w:val="0"/>
        </w:rPr>
        <w:t xml:space="preserve">Queensland Campaign Manager</w:t>
      </w:r>
    </w:p>
    <w:p w:rsidR="00000000" w:rsidDel="00000000" w:rsidP="00000000" w:rsidRDefault="00000000" w:rsidRPr="00000000" w14:paraId="00000002">
      <w:pPr>
        <w:pStyle w:val="Heading3"/>
        <w:pageBreakBefore w:val="0"/>
        <w:rPr/>
      </w:pPr>
      <w:bookmarkStart w:colFirst="0" w:colLast="0" w:name="_nr9860q309ub" w:id="1"/>
      <w:bookmarkEnd w:id="1"/>
      <w:r w:rsidDel="00000000" w:rsidR="00000000" w:rsidRPr="00000000">
        <w:rPr>
          <w:rtl w:val="0"/>
        </w:rPr>
        <w:t xml:space="preserve">The Position</w:t>
      </w:r>
    </w:p>
    <w:p w:rsidR="00000000" w:rsidDel="00000000" w:rsidP="00000000" w:rsidRDefault="00000000" w:rsidRPr="00000000" w14:paraId="00000003">
      <w:pPr>
        <w:spacing w:after="0" w:line="240" w:lineRule="auto"/>
        <w:ind w:left="153.0708661417323" w:right="-324.3307086614169" w:firstLine="0"/>
        <w:jc w:val="both"/>
        <w:rPr/>
      </w:pPr>
      <w:r w:rsidDel="00000000" w:rsidR="00000000" w:rsidRPr="00000000">
        <w:rPr>
          <w:rtl w:val="0"/>
        </w:rPr>
        <w:t xml:space="preserve">The Qld Campaigns Manager role is part of a dedicated and highly collaborative team focused on the long term protection, promotion and restoration of nature and wilderness. The Qld Campaigns Manager is a member of the Wilderness Society’s Campaigners Pod, and works with campaigners across the organisation and other staff on an as-needs basis. </w:t>
      </w:r>
    </w:p>
    <w:p w:rsidR="00000000" w:rsidDel="00000000" w:rsidP="00000000" w:rsidRDefault="00000000" w:rsidRPr="00000000" w14:paraId="00000004">
      <w:pPr>
        <w:spacing w:after="0" w:line="240" w:lineRule="auto"/>
        <w:ind w:left="153.0708661417323" w:right="-324.3307086614169" w:firstLine="0"/>
        <w:jc w:val="both"/>
        <w:rPr/>
      </w:pPr>
      <w:r w:rsidDel="00000000" w:rsidR="00000000" w:rsidRPr="00000000">
        <w:rPr>
          <w:rtl w:val="0"/>
        </w:rPr>
      </w:r>
    </w:p>
    <w:p w:rsidR="00000000" w:rsidDel="00000000" w:rsidP="00000000" w:rsidRDefault="00000000" w:rsidRPr="00000000" w14:paraId="00000005">
      <w:pPr>
        <w:spacing w:after="0" w:line="240" w:lineRule="auto"/>
        <w:ind w:left="153.0708661417323" w:right="-324.3307086614169" w:firstLine="0"/>
        <w:jc w:val="both"/>
        <w:rPr/>
      </w:pPr>
      <w:r w:rsidDel="00000000" w:rsidR="00000000" w:rsidRPr="00000000">
        <w:rPr>
          <w:rtl w:val="0"/>
        </w:rPr>
        <w:t xml:space="preserve">The role supports the ongoing development and implementation of the Organisational Campaign Plan (OCP). Whilst the focus of this work is protecting natural icons within Qld, the role also delivers strategic interventions and other continental campaigns stemming from the OCP. This is achieved through collaboration across diverse communities and environmental groups, applying expert political and media experience into a campaign, media liaison, public communications, scientific interrogation and political and policy engagement and advocacy. This position therefore undertakes high level collaboration across diverse communities and environmental groups. </w:t>
      </w:r>
    </w:p>
    <w:p w:rsidR="00000000" w:rsidDel="00000000" w:rsidP="00000000" w:rsidRDefault="00000000" w:rsidRPr="00000000" w14:paraId="00000006">
      <w:pPr>
        <w:spacing w:after="0" w:line="240" w:lineRule="auto"/>
        <w:ind w:left="153.0708661417323" w:right="-324.3307086614169" w:firstLine="0"/>
        <w:jc w:val="both"/>
        <w:rPr/>
      </w:pPr>
      <w:r w:rsidDel="00000000" w:rsidR="00000000" w:rsidRPr="00000000">
        <w:rPr>
          <w:rtl w:val="0"/>
        </w:rPr>
      </w:r>
    </w:p>
    <w:p w:rsidR="00000000" w:rsidDel="00000000" w:rsidP="00000000" w:rsidRDefault="00000000" w:rsidRPr="00000000" w14:paraId="00000007">
      <w:pPr>
        <w:spacing w:after="0" w:line="240" w:lineRule="auto"/>
        <w:ind w:left="153.0708661417323" w:right="-324.3307086614169" w:firstLine="0"/>
        <w:jc w:val="both"/>
        <w:rPr/>
      </w:pPr>
      <w:r w:rsidDel="00000000" w:rsidR="00000000" w:rsidRPr="00000000">
        <w:rPr>
          <w:rtl w:val="0"/>
        </w:rPr>
        <w:t xml:space="preserve">The Qld Campaign Manager plays a crucial role in ensuring  the effective operation of the Wilderness Society Qld Campaign Centre and leads and mentors staff based in Brisbane to support and deliver the organisation’s campaign agenda in Qld.</w:t>
      </w:r>
    </w:p>
    <w:p w:rsidR="00000000" w:rsidDel="00000000" w:rsidP="00000000" w:rsidRDefault="00000000" w:rsidRPr="00000000" w14:paraId="00000008">
      <w:pPr>
        <w:spacing w:after="0" w:line="240" w:lineRule="auto"/>
        <w:ind w:left="153.0708661417323" w:right="-324.3307086614169" w:firstLine="0"/>
        <w:jc w:val="both"/>
        <w:rPr/>
      </w:pPr>
      <w:r w:rsidDel="00000000" w:rsidR="00000000" w:rsidRPr="00000000">
        <w:rPr>
          <w:rtl w:val="0"/>
        </w:rPr>
      </w:r>
    </w:p>
    <w:p w:rsidR="00000000" w:rsidDel="00000000" w:rsidP="00000000" w:rsidRDefault="00000000" w:rsidRPr="00000000" w14:paraId="00000009">
      <w:pPr>
        <w:pageBreakBefore w:val="0"/>
        <w:spacing w:after="0" w:lineRule="auto"/>
        <w:rPr/>
      </w:pPr>
      <w:r w:rsidDel="00000000" w:rsidR="00000000" w:rsidRPr="00000000">
        <w:rPr>
          <w:rtl w:val="0"/>
        </w:rPr>
      </w:r>
    </w:p>
    <w:p w:rsidR="00000000" w:rsidDel="00000000" w:rsidP="00000000" w:rsidRDefault="00000000" w:rsidRPr="00000000" w14:paraId="0000000A">
      <w:pPr>
        <w:pageBreakBefore w:val="0"/>
        <w:spacing w:after="0" w:lineRule="auto"/>
        <w:rPr/>
      </w:pPr>
      <w:r w:rsidDel="00000000" w:rsidR="00000000" w:rsidRPr="00000000">
        <w:rPr>
          <w:rtl w:val="0"/>
        </w:rPr>
      </w:r>
    </w:p>
    <w:tbl>
      <w:tblPr>
        <w:tblStyle w:val="Table1"/>
        <w:tblW w:w="9465.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2580"/>
        <w:gridCol w:w="2115"/>
        <w:gridCol w:w="3360"/>
        <w:tblGridChange w:id="0">
          <w:tblGrid>
            <w:gridCol w:w="1410"/>
            <w:gridCol w:w="2580"/>
            <w:gridCol w:w="2115"/>
            <w:gridCol w:w="3360"/>
          </w:tblGrid>
        </w:tblGridChange>
      </w:tblGrid>
      <w:tr>
        <w:trPr>
          <w:cantSplit w:val="0"/>
          <w:trHeight w:val="400" w:hRule="atLeast"/>
          <w:tblHeader w:val="0"/>
        </w:trPr>
        <w:tc>
          <w:tcPr>
            <w:tcBorders>
              <w:top w:color="cccccc" w:space="0" w:sz="4" w:val="single"/>
              <w:left w:color="cccccc" w:space="0" w:sz="4" w:val="single"/>
              <w:bottom w:color="cccccc" w:space="0" w:sz="4" w:val="single"/>
              <w:right w:color="cccccc" w:space="0" w:sz="4" w:val="single"/>
            </w:tcBorders>
            <w:shd w:fill="efefef" w:val="clear"/>
            <w:tcMar>
              <w:top w:w="100.0" w:type="dxa"/>
              <w:left w:w="100.0" w:type="dxa"/>
              <w:bottom w:w="100.0" w:type="dxa"/>
              <w:right w:w="100.0" w:type="dxa"/>
            </w:tcMar>
          </w:tcPr>
          <w:p w:rsidR="00000000" w:rsidDel="00000000" w:rsidP="00000000" w:rsidRDefault="00000000" w:rsidRPr="00000000" w14:paraId="0000000B">
            <w:pPr>
              <w:pageBreakBefore w:val="0"/>
              <w:spacing w:after="0" w:line="240" w:lineRule="auto"/>
              <w:rPr/>
            </w:pPr>
            <w:r w:rsidDel="00000000" w:rsidR="00000000" w:rsidRPr="00000000">
              <w:rPr>
                <w:b w:val="1"/>
                <w:rtl w:val="0"/>
              </w:rPr>
              <w:t xml:space="preserve">Employer</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tcPr>
          <w:p w:rsidR="00000000" w:rsidDel="00000000" w:rsidP="00000000" w:rsidRDefault="00000000" w:rsidRPr="00000000" w14:paraId="0000000C">
            <w:pPr>
              <w:pageBreakBefore w:val="0"/>
              <w:spacing w:after="0" w:line="240" w:lineRule="auto"/>
              <w:rPr/>
            </w:pPr>
            <w:r w:rsidDel="00000000" w:rsidR="00000000" w:rsidRPr="00000000">
              <w:rPr>
                <w:rtl w:val="0"/>
              </w:rPr>
              <w:t xml:space="preserve">TWS Ltd</w:t>
            </w:r>
          </w:p>
        </w:tc>
        <w:tc>
          <w:tcPr>
            <w:tcBorders>
              <w:top w:color="cccccc" w:space="0" w:sz="4" w:val="single"/>
              <w:left w:color="cccccc" w:space="0" w:sz="4" w:val="single"/>
              <w:bottom w:color="cccccc" w:space="0" w:sz="4" w:val="single"/>
              <w:right w:color="cccccc" w:space="0" w:sz="4" w:val="single"/>
            </w:tcBorders>
            <w:shd w:fill="efefef" w:val="clear"/>
            <w:tcMar>
              <w:top w:w="100.0" w:type="dxa"/>
              <w:left w:w="100.0" w:type="dxa"/>
              <w:bottom w:w="100.0" w:type="dxa"/>
              <w:right w:w="100.0" w:type="dxa"/>
            </w:tcMar>
          </w:tcPr>
          <w:p w:rsidR="00000000" w:rsidDel="00000000" w:rsidP="00000000" w:rsidRDefault="00000000" w:rsidRPr="00000000" w14:paraId="0000000D">
            <w:pPr>
              <w:pageBreakBefore w:val="0"/>
              <w:spacing w:after="0" w:line="240" w:lineRule="auto"/>
              <w:rPr/>
            </w:pPr>
            <w:r w:rsidDel="00000000" w:rsidR="00000000" w:rsidRPr="00000000">
              <w:rPr>
                <w:b w:val="1"/>
                <w:rtl w:val="0"/>
              </w:rPr>
              <w:t xml:space="preserve">Department</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Mar>
              <w:top w:w="100.0" w:type="dxa"/>
              <w:left w:w="100.0" w:type="dxa"/>
              <w:bottom w:w="100.0" w:type="dxa"/>
              <w:right w:w="100.0" w:type="dxa"/>
            </w:tcMar>
          </w:tcPr>
          <w:p w:rsidR="00000000" w:rsidDel="00000000" w:rsidP="00000000" w:rsidRDefault="00000000" w:rsidRPr="00000000" w14:paraId="0000000E">
            <w:pPr>
              <w:pageBreakBefore w:val="0"/>
              <w:spacing w:after="0" w:line="240" w:lineRule="auto"/>
              <w:rPr/>
            </w:pPr>
            <w:r w:rsidDel="00000000" w:rsidR="00000000" w:rsidRPr="00000000">
              <w:rPr>
                <w:rtl w:val="0"/>
              </w:rPr>
              <w:t xml:space="preserve">Campaigns </w:t>
            </w:r>
            <w:r w:rsidDel="00000000" w:rsidR="00000000" w:rsidRPr="00000000">
              <w:rPr>
                <w:rtl w:val="0"/>
              </w:rPr>
            </w:r>
          </w:p>
        </w:tc>
      </w:tr>
      <w:tr>
        <w:trPr>
          <w:cantSplit w:val="0"/>
          <w:trHeight w:val="400" w:hRule="atLeast"/>
          <w:tblHeader w:val="0"/>
        </w:trPr>
        <w:tc>
          <w:tcPr>
            <w:tcBorders>
              <w:top w:color="cccccc" w:space="0" w:sz="4" w:val="single"/>
              <w:left w:color="cccccc" w:space="0" w:sz="4" w:val="single"/>
              <w:bottom w:color="cccccc" w:space="0" w:sz="4" w:val="single"/>
              <w:right w:color="cccccc" w:space="0" w:sz="4" w:val="single"/>
            </w:tcBorders>
            <w:shd w:fill="efefef" w:val="clear"/>
            <w:tcMar>
              <w:top w:w="100.0" w:type="dxa"/>
              <w:left w:w="100.0" w:type="dxa"/>
              <w:bottom w:w="100.0" w:type="dxa"/>
              <w:right w:w="100.0" w:type="dxa"/>
            </w:tcMar>
          </w:tcPr>
          <w:p w:rsidR="00000000" w:rsidDel="00000000" w:rsidP="00000000" w:rsidRDefault="00000000" w:rsidRPr="00000000" w14:paraId="0000000F">
            <w:pPr>
              <w:pageBreakBefore w:val="0"/>
              <w:spacing w:after="0" w:line="240" w:lineRule="auto"/>
              <w:rPr/>
            </w:pPr>
            <w:r w:rsidDel="00000000" w:rsidR="00000000" w:rsidRPr="00000000">
              <w:rPr>
                <w:b w:val="1"/>
                <w:rtl w:val="0"/>
              </w:rPr>
              <w:t xml:space="preserve">Location</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tcPr>
          <w:p w:rsidR="00000000" w:rsidDel="00000000" w:rsidP="00000000" w:rsidRDefault="00000000" w:rsidRPr="00000000" w14:paraId="00000010">
            <w:pPr>
              <w:pageBreakBefore w:val="0"/>
              <w:spacing w:after="0" w:line="240" w:lineRule="auto"/>
              <w:rPr/>
            </w:pPr>
            <w:r w:rsidDel="00000000" w:rsidR="00000000" w:rsidRPr="00000000">
              <w:rPr>
                <w:rtl w:val="0"/>
              </w:rPr>
              <w:t xml:space="preserve">Brisbane</w:t>
            </w:r>
          </w:p>
        </w:tc>
        <w:tc>
          <w:tcPr>
            <w:tcBorders>
              <w:top w:color="cccccc" w:space="0" w:sz="4" w:val="single"/>
              <w:left w:color="cccccc" w:space="0" w:sz="4" w:val="single"/>
              <w:bottom w:color="cccccc" w:space="0" w:sz="4" w:val="single"/>
              <w:right w:color="cccccc" w:space="0" w:sz="4" w:val="single"/>
            </w:tcBorders>
            <w:shd w:fill="efefef" w:val="clear"/>
            <w:tcMar>
              <w:top w:w="100.0" w:type="dxa"/>
              <w:left w:w="100.0" w:type="dxa"/>
              <w:bottom w:w="100.0" w:type="dxa"/>
              <w:right w:w="100.0" w:type="dxa"/>
            </w:tcMar>
          </w:tcPr>
          <w:p w:rsidR="00000000" w:rsidDel="00000000" w:rsidP="00000000" w:rsidRDefault="00000000" w:rsidRPr="00000000" w14:paraId="00000011">
            <w:pPr>
              <w:pageBreakBefore w:val="0"/>
              <w:spacing w:after="0" w:line="240" w:lineRule="auto"/>
              <w:rPr>
                <w:b w:val="1"/>
              </w:rPr>
            </w:pPr>
            <w:r w:rsidDel="00000000" w:rsidR="00000000" w:rsidRPr="00000000">
              <w:rPr>
                <w:b w:val="1"/>
                <w:rtl w:val="0"/>
              </w:rPr>
              <w:t xml:space="preserve">Level</w:t>
            </w:r>
          </w:p>
        </w:tc>
        <w:tc>
          <w:tcPr>
            <w:tcBorders>
              <w:top w:color="cccccc" w:space="0" w:sz="4" w:val="single"/>
              <w:left w:color="cccccc" w:space="0" w:sz="4" w:val="single"/>
              <w:bottom w:color="cccccc" w:space="0" w:sz="4" w:val="single"/>
              <w:right w:color="cccccc" w:space="0" w:sz="4" w:val="single"/>
            </w:tcBorders>
            <w:shd w:fill="ffffff" w:val="clear"/>
            <w:tcMar>
              <w:top w:w="100.0" w:type="dxa"/>
              <w:left w:w="100.0" w:type="dxa"/>
              <w:bottom w:w="100.0" w:type="dxa"/>
              <w:right w:w="100.0" w:type="dxa"/>
            </w:tcMar>
          </w:tcPr>
          <w:p w:rsidR="00000000" w:rsidDel="00000000" w:rsidP="00000000" w:rsidRDefault="00000000" w:rsidRPr="00000000" w14:paraId="00000012">
            <w:pPr>
              <w:pageBreakBefore w:val="0"/>
              <w:spacing w:after="0" w:line="240" w:lineRule="auto"/>
              <w:rPr>
                <w:b w:val="1"/>
              </w:rPr>
            </w:pPr>
            <w:r w:rsidDel="00000000" w:rsidR="00000000" w:rsidRPr="00000000">
              <w:rPr>
                <w:b w:val="1"/>
                <w:rtl w:val="0"/>
              </w:rPr>
              <w:t xml:space="preserve">5</w:t>
            </w:r>
          </w:p>
        </w:tc>
      </w:tr>
      <w:tr>
        <w:trPr>
          <w:cantSplit w:val="0"/>
          <w:trHeight w:val="400" w:hRule="atLeast"/>
          <w:tblHeader w:val="0"/>
        </w:trPr>
        <w:tc>
          <w:tcPr>
            <w:tcBorders>
              <w:top w:color="cccccc" w:space="0" w:sz="4" w:val="single"/>
              <w:left w:color="cccccc" w:space="0" w:sz="4" w:val="single"/>
              <w:bottom w:color="cccccc" w:space="0" w:sz="4" w:val="single"/>
              <w:right w:color="cccccc" w:space="0" w:sz="4" w:val="single"/>
            </w:tcBorders>
            <w:shd w:fill="efefef" w:val="clear"/>
            <w:tcMar>
              <w:top w:w="100.0" w:type="dxa"/>
              <w:left w:w="100.0" w:type="dxa"/>
              <w:bottom w:w="100.0" w:type="dxa"/>
              <w:right w:w="100.0" w:type="dxa"/>
            </w:tcMar>
          </w:tcPr>
          <w:p w:rsidR="00000000" w:rsidDel="00000000" w:rsidP="00000000" w:rsidRDefault="00000000" w:rsidRPr="00000000" w14:paraId="00000013">
            <w:pPr>
              <w:pageBreakBefore w:val="0"/>
              <w:spacing w:after="0" w:line="240" w:lineRule="auto"/>
              <w:rPr>
                <w:b w:val="1"/>
              </w:rPr>
            </w:pPr>
            <w:r w:rsidDel="00000000" w:rsidR="00000000" w:rsidRPr="00000000">
              <w:rPr>
                <w:b w:val="1"/>
                <w:rtl w:val="0"/>
              </w:rPr>
              <w:t xml:space="preserve">Tenure</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tcPr>
          <w:p w:rsidR="00000000" w:rsidDel="00000000" w:rsidP="00000000" w:rsidRDefault="00000000" w:rsidRPr="00000000" w14:paraId="00000014">
            <w:pPr>
              <w:pageBreakBefore w:val="0"/>
              <w:spacing w:after="0" w:line="240" w:lineRule="auto"/>
              <w:rPr/>
            </w:pPr>
            <w:r w:rsidDel="00000000" w:rsidR="00000000" w:rsidRPr="00000000">
              <w:rPr>
                <w:rtl w:val="0"/>
              </w:rPr>
              <w:t xml:space="preserve">Permanent</w:t>
            </w:r>
          </w:p>
        </w:tc>
        <w:tc>
          <w:tcPr>
            <w:tcBorders>
              <w:top w:color="cccccc" w:space="0" w:sz="4" w:val="single"/>
              <w:left w:color="cccccc" w:space="0" w:sz="4" w:val="single"/>
              <w:bottom w:color="cccccc" w:space="0" w:sz="4" w:val="single"/>
              <w:right w:color="cccccc" w:space="0" w:sz="4" w:val="single"/>
            </w:tcBorders>
            <w:shd w:fill="efefef" w:val="clear"/>
            <w:tcMar>
              <w:top w:w="100.0" w:type="dxa"/>
              <w:left w:w="100.0" w:type="dxa"/>
              <w:bottom w:w="100.0" w:type="dxa"/>
              <w:right w:w="100.0" w:type="dxa"/>
            </w:tcMar>
          </w:tcPr>
          <w:p w:rsidR="00000000" w:rsidDel="00000000" w:rsidP="00000000" w:rsidRDefault="00000000" w:rsidRPr="00000000" w14:paraId="00000015">
            <w:pPr>
              <w:pageBreakBefore w:val="0"/>
              <w:spacing w:after="0" w:line="240" w:lineRule="auto"/>
              <w:rPr>
                <w:b w:val="1"/>
              </w:rPr>
            </w:pPr>
            <w:r w:rsidDel="00000000" w:rsidR="00000000" w:rsidRPr="00000000">
              <w:rPr>
                <w:b w:val="1"/>
                <w:rtl w:val="0"/>
              </w:rPr>
              <w:t xml:space="preserve">Hours</w:t>
            </w:r>
          </w:p>
        </w:tc>
        <w:tc>
          <w:tcPr>
            <w:tcBorders>
              <w:top w:color="cccccc" w:space="0" w:sz="4" w:val="single"/>
              <w:left w:color="cccccc" w:space="0" w:sz="4" w:val="single"/>
              <w:bottom w:color="cccccc" w:space="0" w:sz="4" w:val="single"/>
              <w:right w:color="cccccc" w:space="0" w:sz="4" w:val="single"/>
            </w:tcBorders>
            <w:shd w:fill="ffffff" w:val="clear"/>
            <w:tcMar>
              <w:top w:w="100.0" w:type="dxa"/>
              <w:left w:w="100.0" w:type="dxa"/>
              <w:bottom w:w="100.0" w:type="dxa"/>
              <w:right w:w="100.0" w:type="dxa"/>
            </w:tcMar>
          </w:tcPr>
          <w:p w:rsidR="00000000" w:rsidDel="00000000" w:rsidP="00000000" w:rsidRDefault="00000000" w:rsidRPr="00000000" w14:paraId="00000016">
            <w:pPr>
              <w:pageBreakBefore w:val="0"/>
              <w:spacing w:after="0" w:line="240" w:lineRule="auto"/>
              <w:rPr/>
            </w:pPr>
            <w:r w:rsidDel="00000000" w:rsidR="00000000" w:rsidRPr="00000000">
              <w:rPr>
                <w:rtl w:val="0"/>
              </w:rPr>
              <w:t xml:space="preserve">Full time (37.5 per week)</w:t>
            </w:r>
            <w:r w:rsidDel="00000000" w:rsidR="00000000" w:rsidRPr="00000000">
              <w:rPr>
                <w:rtl w:val="0"/>
              </w:rPr>
            </w:r>
          </w:p>
        </w:tc>
      </w:tr>
      <w:tr>
        <w:trPr>
          <w:cantSplit w:val="0"/>
          <w:trHeight w:val="400" w:hRule="atLeast"/>
          <w:tblHeader w:val="0"/>
        </w:trPr>
        <w:tc>
          <w:tcPr>
            <w:tcBorders>
              <w:top w:color="cccccc" w:space="0" w:sz="4" w:val="single"/>
              <w:left w:color="cccccc" w:space="0" w:sz="4" w:val="single"/>
              <w:bottom w:color="cccccc" w:space="0" w:sz="4" w:val="single"/>
              <w:right w:color="cccccc" w:space="0" w:sz="4" w:val="single"/>
            </w:tcBorders>
            <w:shd w:fill="efefef" w:val="clear"/>
            <w:tcMar>
              <w:top w:w="100.0" w:type="dxa"/>
              <w:left w:w="100.0" w:type="dxa"/>
              <w:bottom w:w="100.0" w:type="dxa"/>
              <w:right w:w="100.0" w:type="dxa"/>
            </w:tcMar>
          </w:tcPr>
          <w:p w:rsidR="00000000" w:rsidDel="00000000" w:rsidP="00000000" w:rsidRDefault="00000000" w:rsidRPr="00000000" w14:paraId="00000017">
            <w:pPr>
              <w:pageBreakBefore w:val="0"/>
              <w:spacing w:after="0" w:line="240" w:lineRule="auto"/>
              <w:rPr>
                <w:b w:val="1"/>
              </w:rPr>
            </w:pPr>
            <w:r w:rsidDel="00000000" w:rsidR="00000000" w:rsidRPr="00000000">
              <w:rPr>
                <w:b w:val="1"/>
                <w:rtl w:val="0"/>
              </w:rPr>
              <w:t xml:space="preserve">Reports to</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tcPr>
          <w:p w:rsidR="00000000" w:rsidDel="00000000" w:rsidP="00000000" w:rsidRDefault="00000000" w:rsidRPr="00000000" w14:paraId="00000018">
            <w:pPr>
              <w:pageBreakBefore w:val="0"/>
              <w:spacing w:after="0" w:line="240" w:lineRule="auto"/>
              <w:rPr/>
            </w:pPr>
            <w:r w:rsidDel="00000000" w:rsidR="00000000" w:rsidRPr="00000000">
              <w:rPr>
                <w:rtl w:val="0"/>
              </w:rPr>
              <w:t xml:space="preserve">National Campaigns Director</w:t>
            </w:r>
          </w:p>
        </w:tc>
        <w:tc>
          <w:tcPr>
            <w:tcBorders>
              <w:top w:color="cccccc" w:space="0" w:sz="4" w:val="single"/>
              <w:left w:color="cccccc" w:space="0" w:sz="4" w:val="single"/>
              <w:bottom w:color="cccccc" w:space="0" w:sz="4" w:val="single"/>
              <w:right w:color="cccccc" w:space="0" w:sz="4" w:val="single"/>
            </w:tcBorders>
            <w:shd w:fill="efefef" w:val="clear"/>
            <w:tcMar>
              <w:top w:w="100.0" w:type="dxa"/>
              <w:left w:w="100.0" w:type="dxa"/>
              <w:bottom w:w="100.0" w:type="dxa"/>
              <w:right w:w="100.0" w:type="dxa"/>
            </w:tcMar>
          </w:tcPr>
          <w:p w:rsidR="00000000" w:rsidDel="00000000" w:rsidP="00000000" w:rsidRDefault="00000000" w:rsidRPr="00000000" w14:paraId="00000019">
            <w:pPr>
              <w:pageBreakBefore w:val="0"/>
              <w:spacing w:after="0" w:line="240" w:lineRule="auto"/>
              <w:rPr>
                <w:b w:val="1"/>
              </w:rPr>
            </w:pPr>
            <w:r w:rsidDel="00000000" w:rsidR="00000000" w:rsidRPr="00000000">
              <w:rPr>
                <w:b w:val="1"/>
                <w:rtl w:val="0"/>
              </w:rPr>
              <w:t xml:space="preserve">Roles reporting to</w:t>
            </w:r>
          </w:p>
        </w:tc>
        <w:tc>
          <w:tcPr>
            <w:tcBorders>
              <w:top w:color="cccccc" w:space="0" w:sz="4" w:val="single"/>
              <w:left w:color="cccccc" w:space="0" w:sz="4" w:val="single"/>
              <w:bottom w:color="cccccc" w:space="0" w:sz="4" w:val="single"/>
              <w:right w:color="cccccc" w:space="0" w:sz="4" w:val="single"/>
            </w:tcBorders>
            <w:shd w:fill="ffffff" w:val="clear"/>
            <w:tcMar>
              <w:top w:w="100.0" w:type="dxa"/>
              <w:left w:w="100.0" w:type="dxa"/>
              <w:bottom w:w="100.0" w:type="dxa"/>
              <w:right w:w="100.0" w:type="dxa"/>
            </w:tcMar>
          </w:tcPr>
          <w:p w:rsidR="00000000" w:rsidDel="00000000" w:rsidP="00000000" w:rsidRDefault="00000000" w:rsidRPr="00000000" w14:paraId="0000001A">
            <w:pPr>
              <w:pageBreakBefore w:val="0"/>
              <w:spacing w:after="0" w:line="240" w:lineRule="auto"/>
              <w:rPr/>
            </w:pPr>
            <w:r w:rsidDel="00000000" w:rsidR="00000000" w:rsidRPr="00000000">
              <w:rPr>
                <w:rtl w:val="0"/>
              </w:rPr>
            </w:r>
          </w:p>
        </w:tc>
      </w:tr>
    </w:tbl>
    <w:p w:rsidR="00000000" w:rsidDel="00000000" w:rsidP="00000000" w:rsidRDefault="00000000" w:rsidRPr="00000000" w14:paraId="0000001B">
      <w:pPr>
        <w:pStyle w:val="Heading3"/>
        <w:pageBreakBefore w:val="0"/>
        <w:rPr/>
      </w:pPr>
      <w:bookmarkStart w:colFirst="0" w:colLast="0" w:name="_o2gjfrubm310" w:id="2"/>
      <w:bookmarkEnd w:id="2"/>
      <w:r w:rsidDel="00000000" w:rsidR="00000000" w:rsidRPr="00000000">
        <w:rPr>
          <w:rtl w:val="0"/>
        </w:rPr>
        <w:br w:type="textWrapping"/>
        <w:t xml:space="preserve">Responsibilities </w:t>
      </w:r>
    </w:p>
    <w:tbl>
      <w:tblPr>
        <w:tblStyle w:val="Table2"/>
        <w:tblW w:w="9360.0" w:type="dxa"/>
        <w:jc w:val="left"/>
        <w:tblInd w:w="4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rHeight w:val="380" w:hRule="atLeast"/>
          <w:tblHeader w:val="0"/>
        </w:trPr>
        <w:tc>
          <w:tcPr>
            <w:tcBorders>
              <w:top w:color="cccccc" w:space="0" w:sz="4" w:val="single"/>
              <w:left w:color="cccccc" w:space="0" w:sz="4" w:val="single"/>
              <w:bottom w:color="cccccc" w:space="0" w:sz="4" w:val="single"/>
              <w:right w:color="cccccc"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1C">
            <w:pPr>
              <w:pageBreakBefore w:val="0"/>
              <w:spacing w:after="0" w:lineRule="auto"/>
              <w:rPr>
                <w:b w:val="1"/>
              </w:rPr>
            </w:pPr>
            <w:r w:rsidDel="00000000" w:rsidR="00000000" w:rsidRPr="00000000">
              <w:rPr>
                <w:b w:val="1"/>
                <w:rtl w:val="0"/>
              </w:rPr>
              <w:t xml:space="preserve">Key </w:t>
            </w:r>
            <w:r w:rsidDel="00000000" w:rsidR="00000000" w:rsidRPr="00000000">
              <w:rPr>
                <w:b w:val="1"/>
                <w:rtl w:val="0"/>
              </w:rPr>
              <w:t xml:space="preserve">Responsibilities</w:t>
            </w: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1D">
            <w:pPr>
              <w:spacing w:after="0" w:line="240" w:lineRule="auto"/>
              <w:rPr/>
            </w:pPr>
            <w:r w:rsidDel="00000000" w:rsidR="00000000" w:rsidRPr="00000000">
              <w:rPr>
                <w:b w:val="1"/>
                <w:highlight w:val="white"/>
                <w:rtl w:val="0"/>
              </w:rPr>
              <w:t xml:space="preserve">Leadership, Strategy &amp; </w:t>
            </w:r>
            <w:r w:rsidDel="00000000" w:rsidR="00000000" w:rsidRPr="00000000">
              <w:rPr>
                <w:b w:val="1"/>
                <w:rtl w:val="0"/>
              </w:rPr>
              <w:t xml:space="preserve">Campaign</w:t>
            </w:r>
            <w:r w:rsidDel="00000000" w:rsidR="00000000" w:rsidRPr="00000000">
              <w:rPr>
                <w:b w:val="1"/>
                <w:highlight w:val="white"/>
                <w:rtl w:val="0"/>
              </w:rPr>
              <w:t xml:space="preserve"> Implementation</w:t>
            </w:r>
            <w:r w:rsidDel="00000000" w:rsidR="00000000" w:rsidRPr="00000000">
              <w:rPr>
                <w:rtl w:val="0"/>
              </w:rPr>
            </w:r>
          </w:p>
          <w:p w:rsidR="00000000" w:rsidDel="00000000" w:rsidP="00000000" w:rsidRDefault="00000000" w:rsidRPr="00000000" w14:paraId="0000001E">
            <w:pPr>
              <w:numPr>
                <w:ilvl w:val="0"/>
                <w:numId w:val="4"/>
              </w:numPr>
              <w:spacing w:after="0" w:line="240" w:lineRule="auto"/>
              <w:ind w:left="720" w:hanging="360"/>
            </w:pPr>
            <w:r w:rsidDel="00000000" w:rsidR="00000000" w:rsidRPr="00000000">
              <w:rPr>
                <w:rtl w:val="0"/>
              </w:rPr>
              <w:t xml:space="preserve">Undertake detailed research and analysis, strategic planning and implementation of the Organisational Campaign Plan,</w:t>
            </w:r>
          </w:p>
          <w:p w:rsidR="00000000" w:rsidDel="00000000" w:rsidP="00000000" w:rsidRDefault="00000000" w:rsidRPr="00000000" w14:paraId="0000001F">
            <w:pPr>
              <w:widowControl w:val="1"/>
              <w:numPr>
                <w:ilvl w:val="0"/>
                <w:numId w:val="4"/>
              </w:numPr>
              <w:spacing w:after="0" w:line="240" w:lineRule="auto"/>
              <w:ind w:left="720" w:hanging="360"/>
            </w:pPr>
            <w:r w:rsidDel="00000000" w:rsidR="00000000" w:rsidRPr="00000000">
              <w:rPr>
                <w:rtl w:val="0"/>
              </w:rPr>
              <w:t xml:space="preserve">Provide guidance and leadership to organisational supporters, Movement For Life teams and community leaders to implement strategies and plans.</w:t>
            </w:r>
          </w:p>
          <w:p w:rsidR="00000000" w:rsidDel="00000000" w:rsidP="00000000" w:rsidRDefault="00000000" w:rsidRPr="00000000" w14:paraId="00000020">
            <w:pPr>
              <w:numPr>
                <w:ilvl w:val="0"/>
                <w:numId w:val="4"/>
              </w:numPr>
              <w:spacing w:after="0" w:line="240" w:lineRule="auto"/>
              <w:ind w:left="720" w:hanging="360"/>
            </w:pPr>
            <w:r w:rsidDel="00000000" w:rsidR="00000000" w:rsidRPr="00000000">
              <w:rPr>
                <w:rtl w:val="0"/>
              </w:rPr>
              <w:t xml:space="preserve">Monitor, evaluate and report against the Organisation Campaign Plan.</w:t>
            </w:r>
          </w:p>
          <w:p w:rsidR="00000000" w:rsidDel="00000000" w:rsidP="00000000" w:rsidRDefault="00000000" w:rsidRPr="00000000" w14:paraId="00000021">
            <w:pPr>
              <w:numPr>
                <w:ilvl w:val="0"/>
                <w:numId w:val="4"/>
              </w:numPr>
              <w:spacing w:after="0" w:line="240" w:lineRule="auto"/>
              <w:ind w:left="720" w:hanging="360"/>
            </w:pPr>
            <w:r w:rsidDel="00000000" w:rsidR="00000000" w:rsidRPr="00000000">
              <w:rPr>
                <w:rtl w:val="0"/>
              </w:rPr>
              <w:t xml:space="preserve">Manage campaign spend sustainably and innovate for focus and best use of shared resources. </w:t>
            </w:r>
          </w:p>
          <w:p w:rsidR="00000000" w:rsidDel="00000000" w:rsidP="00000000" w:rsidRDefault="00000000" w:rsidRPr="00000000" w14:paraId="00000022">
            <w:pPr>
              <w:spacing w:after="0" w:line="240" w:lineRule="auto"/>
              <w:ind w:left="720" w:firstLine="0"/>
              <w:rPr/>
            </w:pPr>
            <w:r w:rsidDel="00000000" w:rsidR="00000000" w:rsidRPr="00000000">
              <w:rPr>
                <w:rtl w:val="0"/>
              </w:rPr>
            </w:r>
          </w:p>
          <w:p w:rsidR="00000000" w:rsidDel="00000000" w:rsidP="00000000" w:rsidRDefault="00000000" w:rsidRPr="00000000" w14:paraId="00000023">
            <w:pPr>
              <w:spacing w:after="0" w:lineRule="auto"/>
              <w:rPr>
                <w:b w:val="1"/>
                <w:highlight w:val="white"/>
              </w:rPr>
            </w:pPr>
            <w:r w:rsidDel="00000000" w:rsidR="00000000" w:rsidRPr="00000000">
              <w:rPr>
                <w:b w:val="1"/>
                <w:highlight w:val="white"/>
                <w:rtl w:val="0"/>
              </w:rPr>
              <w:t xml:space="preserve">Strategic Partnerships, Stakeholder Engagement &amp; Effective Representation</w:t>
            </w:r>
          </w:p>
          <w:p w:rsidR="00000000" w:rsidDel="00000000" w:rsidP="00000000" w:rsidRDefault="00000000" w:rsidRPr="00000000" w14:paraId="00000024">
            <w:pPr>
              <w:numPr>
                <w:ilvl w:val="0"/>
                <w:numId w:val="5"/>
              </w:numPr>
              <w:spacing w:after="0" w:lineRule="auto"/>
              <w:ind w:left="720" w:hanging="360"/>
              <w:rPr>
                <w:highlight w:val="white"/>
              </w:rPr>
            </w:pPr>
            <w:r w:rsidDel="00000000" w:rsidR="00000000" w:rsidRPr="00000000">
              <w:rPr>
                <w:highlight w:val="white"/>
                <w:rtl w:val="0"/>
              </w:rPr>
              <w:t xml:space="preserve">Liaise with internal and external stakeholders to support organisational campaign, policy, communications, fundraising and advocacy activity.</w:t>
            </w:r>
            <w:r w:rsidDel="00000000" w:rsidR="00000000" w:rsidRPr="00000000">
              <w:rPr>
                <w:rtl w:val="0"/>
              </w:rPr>
            </w:r>
          </w:p>
          <w:p w:rsidR="00000000" w:rsidDel="00000000" w:rsidP="00000000" w:rsidRDefault="00000000" w:rsidRPr="00000000" w14:paraId="00000025">
            <w:pPr>
              <w:numPr>
                <w:ilvl w:val="0"/>
                <w:numId w:val="5"/>
              </w:numPr>
              <w:spacing w:after="0" w:line="240" w:lineRule="auto"/>
              <w:ind w:left="720" w:hanging="360"/>
            </w:pPr>
            <w:r w:rsidDel="00000000" w:rsidR="00000000" w:rsidRPr="00000000">
              <w:rPr>
                <w:rtl w:val="0"/>
              </w:rPr>
              <w:t xml:space="preserve">Ensure all external interactions are carried out in a professional and caring manner and exemplify the TWS purpose/values.</w:t>
            </w:r>
          </w:p>
          <w:p w:rsidR="00000000" w:rsidDel="00000000" w:rsidP="00000000" w:rsidRDefault="00000000" w:rsidRPr="00000000" w14:paraId="00000026">
            <w:pPr>
              <w:numPr>
                <w:ilvl w:val="0"/>
                <w:numId w:val="5"/>
              </w:numPr>
              <w:spacing w:after="0" w:lineRule="auto"/>
              <w:ind w:left="720" w:hanging="360"/>
              <w:rPr>
                <w:highlight w:val="white"/>
              </w:rPr>
            </w:pPr>
            <w:r w:rsidDel="00000000" w:rsidR="00000000" w:rsidRPr="00000000">
              <w:rPr>
                <w:rtl w:val="0"/>
              </w:rPr>
              <w:t xml:space="preserve">Build and foster effective collaborations and strategic alliances with other organisations related to campaigns within the Organisational Campaign Plan.</w:t>
            </w:r>
          </w:p>
          <w:p w:rsidR="00000000" w:rsidDel="00000000" w:rsidP="00000000" w:rsidRDefault="00000000" w:rsidRPr="00000000" w14:paraId="00000027">
            <w:pPr>
              <w:numPr>
                <w:ilvl w:val="0"/>
                <w:numId w:val="5"/>
              </w:numPr>
              <w:spacing w:after="0" w:lineRule="auto"/>
              <w:ind w:left="720" w:hanging="360"/>
              <w:rPr>
                <w:highlight w:val="white"/>
              </w:rPr>
            </w:pPr>
            <w:r w:rsidDel="00000000" w:rsidR="00000000" w:rsidRPr="00000000">
              <w:rPr>
                <w:rtl w:val="0"/>
              </w:rPr>
              <w:t xml:space="preserve">Ensure effective and mutually beneficial relationships and networks are developed and maintained through effective contribution to and communication with key stakeholders.</w:t>
            </w:r>
          </w:p>
          <w:p w:rsidR="00000000" w:rsidDel="00000000" w:rsidP="00000000" w:rsidRDefault="00000000" w:rsidRPr="00000000" w14:paraId="00000028">
            <w:pPr>
              <w:spacing w:after="0" w:lineRule="auto"/>
              <w:rPr>
                <w:b w:val="1"/>
                <w:highlight w:val="white"/>
              </w:rPr>
            </w:pPr>
            <w:r w:rsidDel="00000000" w:rsidR="00000000" w:rsidRPr="00000000">
              <w:rPr>
                <w:rtl w:val="0"/>
              </w:rPr>
            </w:r>
          </w:p>
          <w:p w:rsidR="00000000" w:rsidDel="00000000" w:rsidP="00000000" w:rsidRDefault="00000000" w:rsidRPr="00000000" w14:paraId="00000029">
            <w:pPr>
              <w:spacing w:after="0" w:lineRule="auto"/>
              <w:rPr>
                <w:b w:val="1"/>
                <w:highlight w:val="white"/>
              </w:rPr>
            </w:pPr>
            <w:r w:rsidDel="00000000" w:rsidR="00000000" w:rsidRPr="00000000">
              <w:rPr>
                <w:b w:val="1"/>
                <w:highlight w:val="white"/>
                <w:rtl w:val="0"/>
              </w:rPr>
              <w:t xml:space="preserve">Collaboration, Behaviour &amp; Organisational Culture</w:t>
            </w:r>
          </w:p>
          <w:p w:rsidR="00000000" w:rsidDel="00000000" w:rsidP="00000000" w:rsidRDefault="00000000" w:rsidRPr="00000000" w14:paraId="0000002A">
            <w:pPr>
              <w:numPr>
                <w:ilvl w:val="0"/>
                <w:numId w:val="8"/>
              </w:numPr>
              <w:spacing w:after="0" w:lineRule="auto"/>
              <w:ind w:left="720" w:hanging="360"/>
              <w:rPr>
                <w:highlight w:val="white"/>
              </w:rPr>
            </w:pPr>
            <w:r w:rsidDel="00000000" w:rsidR="00000000" w:rsidRPr="00000000">
              <w:rPr>
                <w:highlight w:val="white"/>
                <w:rtl w:val="0"/>
              </w:rPr>
              <w:t xml:space="preserve">Participation and engagement in Campaigners Pod to foster ongoing collaboration and integration between campaigners across the organisation.</w:t>
            </w:r>
          </w:p>
          <w:p w:rsidR="00000000" w:rsidDel="00000000" w:rsidP="00000000" w:rsidRDefault="00000000" w:rsidRPr="00000000" w14:paraId="0000002B">
            <w:pPr>
              <w:numPr>
                <w:ilvl w:val="0"/>
                <w:numId w:val="8"/>
              </w:numPr>
              <w:spacing w:after="0" w:line="240" w:lineRule="auto"/>
              <w:ind w:left="720" w:hanging="360"/>
            </w:pPr>
            <w:r w:rsidDel="00000000" w:rsidR="00000000" w:rsidRPr="00000000">
              <w:rPr>
                <w:rtl w:val="0"/>
              </w:rPr>
              <w:t xml:space="preserve">Demonstrate a passion for our purpose through developing and maintaining effective internal relationships. </w:t>
            </w:r>
          </w:p>
          <w:p w:rsidR="00000000" w:rsidDel="00000000" w:rsidP="00000000" w:rsidRDefault="00000000" w:rsidRPr="00000000" w14:paraId="0000002C">
            <w:pPr>
              <w:numPr>
                <w:ilvl w:val="0"/>
                <w:numId w:val="2"/>
              </w:numPr>
              <w:spacing w:after="0" w:line="240" w:lineRule="auto"/>
              <w:ind w:left="720" w:hanging="360"/>
            </w:pPr>
            <w:r w:rsidDel="00000000" w:rsidR="00000000" w:rsidRPr="00000000">
              <w:rPr>
                <w:rtl w:val="0"/>
              </w:rPr>
              <w:t xml:space="preserve">Undertake professional development to ensure skill requirements of the role are met.</w:t>
            </w:r>
          </w:p>
          <w:p w:rsidR="00000000" w:rsidDel="00000000" w:rsidP="00000000" w:rsidRDefault="00000000" w:rsidRPr="00000000" w14:paraId="0000002D">
            <w:pPr>
              <w:numPr>
                <w:ilvl w:val="0"/>
                <w:numId w:val="2"/>
              </w:numPr>
              <w:spacing w:after="0" w:line="240" w:lineRule="auto"/>
              <w:ind w:left="720" w:hanging="360"/>
            </w:pPr>
            <w:r w:rsidDel="00000000" w:rsidR="00000000" w:rsidRPr="00000000">
              <w:rPr>
                <w:rtl w:val="0"/>
              </w:rPr>
              <w:t xml:space="preserve">Ensure positive and supportive staff management and develop pathways for development.</w:t>
            </w:r>
            <w:r w:rsidDel="00000000" w:rsidR="00000000" w:rsidRPr="00000000">
              <w:rPr>
                <w:rtl w:val="0"/>
              </w:rPr>
            </w:r>
          </w:p>
          <w:p w:rsidR="00000000" w:rsidDel="00000000" w:rsidP="00000000" w:rsidRDefault="00000000" w:rsidRPr="00000000" w14:paraId="0000002E">
            <w:pPr>
              <w:spacing w:after="0" w:lineRule="auto"/>
              <w:rPr>
                <w:b w:val="1"/>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b w:val="1"/>
                <w:rtl w:val="0"/>
              </w:rPr>
              <w:t xml:space="preserve">WH&amp;S,  Compliance &amp; General </w:t>
            </w:r>
            <w:r w:rsidDel="00000000" w:rsidR="00000000" w:rsidRPr="00000000">
              <w:rPr>
                <w:rtl w:val="0"/>
              </w:rPr>
            </w:r>
          </w:p>
          <w:p w:rsidR="00000000" w:rsidDel="00000000" w:rsidP="00000000" w:rsidRDefault="00000000" w:rsidRPr="00000000" w14:paraId="00000030">
            <w:pPr>
              <w:widowControl w:val="1"/>
              <w:numPr>
                <w:ilvl w:val="0"/>
                <w:numId w:val="6"/>
              </w:numPr>
              <w:spacing w:after="0" w:line="240" w:lineRule="auto"/>
              <w:ind w:left="720" w:hanging="360"/>
            </w:pPr>
            <w:r w:rsidDel="00000000" w:rsidR="00000000" w:rsidRPr="00000000">
              <w:rPr>
                <w:rtl w:val="0"/>
              </w:rPr>
              <w:t xml:space="preserve">Develop risk management plans and associated mitigation strategies for implementation in relation to campaigning.</w:t>
            </w:r>
          </w:p>
          <w:p w:rsidR="00000000" w:rsidDel="00000000" w:rsidP="00000000" w:rsidRDefault="00000000" w:rsidRPr="00000000" w14:paraId="00000031">
            <w:pPr>
              <w:numPr>
                <w:ilvl w:val="0"/>
                <w:numId w:val="6"/>
              </w:numPr>
              <w:spacing w:after="0" w:line="240" w:lineRule="auto"/>
              <w:ind w:left="720" w:hanging="360"/>
            </w:pPr>
            <w:r w:rsidDel="00000000" w:rsidR="00000000" w:rsidRPr="00000000">
              <w:rPr>
                <w:rtl w:val="0"/>
              </w:rPr>
              <w:t xml:space="preserve">Support a safe and healthy work environment through participation in Work Health, Safety and Environment initiatives.</w:t>
            </w:r>
          </w:p>
          <w:p w:rsidR="00000000" w:rsidDel="00000000" w:rsidP="00000000" w:rsidRDefault="00000000" w:rsidRPr="00000000" w14:paraId="00000032">
            <w:pPr>
              <w:numPr>
                <w:ilvl w:val="0"/>
                <w:numId w:val="6"/>
              </w:numPr>
              <w:spacing w:after="0" w:line="240" w:lineRule="auto"/>
              <w:ind w:left="720" w:hanging="360"/>
            </w:pPr>
            <w:r w:rsidDel="00000000" w:rsidR="00000000" w:rsidRPr="00000000">
              <w:rPr>
                <w:rtl w:val="0"/>
              </w:rPr>
              <w:t xml:space="preserve">Ensure organisational integrity by operating in accordance with legal and organisational requirements in relation to governance and compliance.</w:t>
            </w:r>
          </w:p>
          <w:p w:rsidR="00000000" w:rsidDel="00000000" w:rsidP="00000000" w:rsidRDefault="00000000" w:rsidRPr="00000000" w14:paraId="00000033">
            <w:pPr>
              <w:numPr>
                <w:ilvl w:val="0"/>
                <w:numId w:val="6"/>
              </w:numPr>
              <w:spacing w:after="0" w:line="240" w:lineRule="auto"/>
              <w:ind w:left="720" w:hanging="360"/>
            </w:pPr>
            <w:r w:rsidDel="00000000" w:rsidR="00000000" w:rsidRPr="00000000">
              <w:rPr>
                <w:rtl w:val="0"/>
              </w:rPr>
              <w:t xml:space="preserve">Compliance with Work Health, Safety and Wellbeing policies, procedures and legislation at all times.</w:t>
            </w:r>
            <w:r w:rsidDel="00000000" w:rsidR="00000000" w:rsidRPr="00000000">
              <w:rPr>
                <w:rtl w:val="0"/>
              </w:rPr>
            </w:r>
          </w:p>
        </w:tc>
      </w:tr>
    </w:tbl>
    <w:p w:rsidR="00000000" w:rsidDel="00000000" w:rsidP="00000000" w:rsidRDefault="00000000" w:rsidRPr="00000000" w14:paraId="00000034">
      <w:pPr>
        <w:pStyle w:val="Heading3"/>
        <w:pageBreakBefore w:val="0"/>
        <w:rPr/>
      </w:pPr>
      <w:bookmarkStart w:colFirst="0" w:colLast="0" w:name="_kr83372q4pun" w:id="3"/>
      <w:bookmarkEnd w:id="3"/>
      <w:r w:rsidDel="00000000" w:rsidR="00000000" w:rsidRPr="00000000">
        <w:rPr>
          <w:rtl w:val="0"/>
        </w:rPr>
        <w:br w:type="textWrapping"/>
      </w:r>
      <w:r w:rsidDel="00000000" w:rsidR="00000000" w:rsidRPr="00000000">
        <w:rPr>
          <w:rtl w:val="0"/>
        </w:rPr>
        <w:t xml:space="preserve">Knowledge and Skills</w:t>
      </w:r>
    </w:p>
    <w:tbl>
      <w:tblPr>
        <w:tblStyle w:val="Table3"/>
        <w:tblW w:w="9450.0" w:type="dxa"/>
        <w:jc w:val="left"/>
        <w:tblInd w:w="4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860"/>
        <w:gridCol w:w="4590"/>
        <w:tblGridChange w:id="0">
          <w:tblGrid>
            <w:gridCol w:w="4860"/>
            <w:gridCol w:w="4590"/>
          </w:tblGrid>
        </w:tblGridChange>
      </w:tblGrid>
      <w:tr>
        <w:trPr>
          <w:cantSplit w:val="0"/>
          <w:trHeight w:val="380" w:hRule="atLeast"/>
          <w:tblHeader w:val="0"/>
        </w:trPr>
        <w:tc>
          <w:tcPr>
            <w:tcBorders>
              <w:top w:color="cccccc" w:space="0" w:sz="4" w:val="single"/>
              <w:left w:color="cccccc" w:space="0" w:sz="4" w:val="single"/>
              <w:bottom w:color="cccccc" w:space="0" w:sz="4" w:val="single"/>
              <w:right w:color="cccccc"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after="0" w:lineRule="auto"/>
              <w:rPr>
                <w:b w:val="1"/>
              </w:rPr>
            </w:pPr>
            <w:r w:rsidDel="00000000" w:rsidR="00000000" w:rsidRPr="00000000">
              <w:rPr>
                <w:b w:val="1"/>
                <w:rtl w:val="0"/>
              </w:rPr>
              <w:t xml:space="preserve">Essential</w:t>
            </w:r>
          </w:p>
        </w:tc>
        <w:tc>
          <w:tcPr>
            <w:tcBorders>
              <w:top w:color="cccccc" w:space="0" w:sz="4" w:val="single"/>
              <w:left w:color="cccccc" w:space="0" w:sz="4" w:val="single"/>
              <w:bottom w:color="cccccc" w:space="0" w:sz="4" w:val="single"/>
              <w:right w:color="cccccc"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after="0" w:lineRule="auto"/>
              <w:rPr>
                <w:b w:val="1"/>
              </w:rPr>
            </w:pPr>
            <w:r w:rsidDel="00000000" w:rsidR="00000000" w:rsidRPr="00000000">
              <w:rPr>
                <w:b w:val="1"/>
                <w:rtl w:val="0"/>
              </w:rPr>
              <w:t xml:space="preserve">Desirable</w:t>
            </w:r>
          </w:p>
        </w:tc>
      </w:tr>
      <w:tr>
        <w:trPr>
          <w:cantSplit w:val="0"/>
          <w:tblHeader w:val="0"/>
        </w:trPr>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37">
            <w:pPr>
              <w:numPr>
                <w:ilvl w:val="0"/>
                <w:numId w:val="7"/>
              </w:numPr>
              <w:spacing w:after="0" w:lineRule="auto"/>
              <w:ind w:left="720" w:hanging="360"/>
              <w:rPr>
                <w:rFonts w:ascii="Source Sans Pro" w:cs="Source Sans Pro" w:eastAsia="Source Sans Pro" w:hAnsi="Source Sans Pro"/>
              </w:rPr>
            </w:pPr>
            <w:r w:rsidDel="00000000" w:rsidR="00000000" w:rsidRPr="00000000">
              <w:rPr>
                <w:rtl w:val="0"/>
              </w:rPr>
              <w:t xml:space="preserve">Commitment to TWS purpose, vision and values and to success in the protection of the natural environment.</w:t>
            </w:r>
          </w:p>
          <w:p w:rsidR="00000000" w:rsidDel="00000000" w:rsidP="00000000" w:rsidRDefault="00000000" w:rsidRPr="00000000" w14:paraId="00000038">
            <w:pPr>
              <w:widowControl w:val="1"/>
              <w:numPr>
                <w:ilvl w:val="0"/>
                <w:numId w:val="7"/>
              </w:numPr>
              <w:spacing w:after="0" w:lineRule="auto"/>
              <w:ind w:left="720" w:hanging="360"/>
            </w:pPr>
            <w:r w:rsidDel="00000000" w:rsidR="00000000" w:rsidRPr="00000000">
              <w:rPr>
                <w:rtl w:val="0"/>
              </w:rPr>
              <w:t xml:space="preserve">Demonstrated  experience in senior campaigning roles, including campaign strategy and planning, media coverage, political and business lobbying, networking and alliance building,  research and analysis.</w:t>
            </w:r>
            <w:r w:rsidDel="00000000" w:rsidR="00000000" w:rsidRPr="00000000">
              <w:rPr>
                <w:rtl w:val="0"/>
              </w:rPr>
            </w:r>
          </w:p>
          <w:p w:rsidR="00000000" w:rsidDel="00000000" w:rsidP="00000000" w:rsidRDefault="00000000" w:rsidRPr="00000000" w14:paraId="00000039">
            <w:pPr>
              <w:widowControl w:val="1"/>
              <w:numPr>
                <w:ilvl w:val="0"/>
                <w:numId w:val="7"/>
              </w:numPr>
              <w:spacing w:after="0" w:lineRule="auto"/>
              <w:ind w:left="720" w:hanging="360"/>
            </w:pPr>
            <w:r w:rsidDel="00000000" w:rsidR="00000000" w:rsidRPr="00000000">
              <w:rPr>
                <w:rtl w:val="0"/>
              </w:rPr>
              <w:t xml:space="preserve">Ability to work well with others, including other team members located remotely.</w:t>
            </w:r>
          </w:p>
          <w:p w:rsidR="00000000" w:rsidDel="00000000" w:rsidP="00000000" w:rsidRDefault="00000000" w:rsidRPr="00000000" w14:paraId="0000003A">
            <w:pPr>
              <w:widowControl w:val="1"/>
              <w:numPr>
                <w:ilvl w:val="0"/>
                <w:numId w:val="7"/>
              </w:numPr>
              <w:spacing w:after="0" w:lineRule="auto"/>
              <w:ind w:left="720" w:hanging="360"/>
            </w:pPr>
            <w:r w:rsidDel="00000000" w:rsidR="00000000" w:rsidRPr="00000000">
              <w:rPr>
                <w:rtl w:val="0"/>
              </w:rPr>
              <w:t xml:space="preserve">Strong literacy and communication skills, including excellent written and verbal communication skills, and interpersonal skills.</w:t>
            </w:r>
          </w:p>
          <w:p w:rsidR="00000000" w:rsidDel="00000000" w:rsidP="00000000" w:rsidRDefault="00000000" w:rsidRPr="00000000" w14:paraId="0000003B">
            <w:pPr>
              <w:widowControl w:val="1"/>
              <w:numPr>
                <w:ilvl w:val="0"/>
                <w:numId w:val="7"/>
              </w:numPr>
              <w:spacing w:after="0" w:lineRule="auto"/>
              <w:ind w:left="720" w:hanging="360"/>
            </w:pPr>
            <w:r w:rsidDel="00000000" w:rsidR="00000000" w:rsidRPr="00000000">
              <w:rPr>
                <w:rtl w:val="0"/>
              </w:rPr>
              <w:t xml:space="preserve">An understanding of State and national political environment,  and electoral politics, climate change and conservation issues in Australia.</w:t>
            </w:r>
          </w:p>
          <w:p w:rsidR="00000000" w:rsidDel="00000000" w:rsidP="00000000" w:rsidRDefault="00000000" w:rsidRPr="00000000" w14:paraId="0000003C">
            <w:pPr>
              <w:widowControl w:val="1"/>
              <w:numPr>
                <w:ilvl w:val="0"/>
                <w:numId w:val="7"/>
              </w:numPr>
              <w:spacing w:after="0" w:lineRule="auto"/>
              <w:ind w:left="720" w:hanging="360"/>
            </w:pPr>
            <w:r w:rsidDel="00000000" w:rsidR="00000000" w:rsidRPr="00000000">
              <w:rPr>
                <w:rtl w:val="0"/>
              </w:rPr>
              <w:t xml:space="preserve">Self-motivated, with demonstrated ability to work autonomously, and be responsible for own tasks and activities.</w:t>
            </w:r>
          </w:p>
          <w:p w:rsidR="00000000" w:rsidDel="00000000" w:rsidP="00000000" w:rsidRDefault="00000000" w:rsidRPr="00000000" w14:paraId="0000003D">
            <w:pPr>
              <w:widowControl w:val="1"/>
              <w:numPr>
                <w:ilvl w:val="0"/>
                <w:numId w:val="7"/>
              </w:numPr>
              <w:spacing w:after="0" w:lineRule="auto"/>
              <w:ind w:left="720" w:hanging="360"/>
            </w:pPr>
            <w:r w:rsidDel="00000000" w:rsidR="00000000" w:rsidRPr="00000000">
              <w:rPr>
                <w:rtl w:val="0"/>
              </w:rPr>
              <w:t xml:space="preserve">High level experience in team leadership and strong people management skills including team building, mentoring, and conflict resolution.</w:t>
            </w:r>
          </w:p>
          <w:p w:rsidR="00000000" w:rsidDel="00000000" w:rsidP="00000000" w:rsidRDefault="00000000" w:rsidRPr="00000000" w14:paraId="0000003E">
            <w:pPr>
              <w:pageBreakBefore w:val="0"/>
              <w:numPr>
                <w:ilvl w:val="0"/>
                <w:numId w:val="7"/>
              </w:numPr>
              <w:spacing w:after="0" w:lineRule="auto"/>
              <w:ind w:left="720" w:hanging="360"/>
            </w:pPr>
            <w:r w:rsidDel="00000000" w:rsidR="00000000" w:rsidRPr="00000000">
              <w:rPr>
                <w:rtl w:val="0"/>
              </w:rPr>
              <w:t xml:space="preserve">Experience working with First Nations people and organisations.</w:t>
            </w:r>
          </w:p>
        </w:tc>
        <w:tc>
          <w:tcPr>
            <w:tcBorders>
              <w:top w:color="cccccc" w:space="0" w:sz="4" w:val="single"/>
              <w:left w:color="cccccc" w:space="0" w:sz="4" w:val="single"/>
              <w:bottom w:color="cccccc" w:space="0" w:sz="4" w:val="single"/>
              <w:right w:color="cccccc" w:space="0" w:sz="4" w:val="single"/>
            </w:tcBorders>
            <w:tcMar>
              <w:top w:w="100.0" w:type="dxa"/>
              <w:left w:w="100.0" w:type="dxa"/>
              <w:bottom w:w="100.0" w:type="dxa"/>
              <w:right w:w="100.0" w:type="dxa"/>
            </w:tcMar>
            <w:vAlign w:val="top"/>
          </w:tcPr>
          <w:p w:rsidR="00000000" w:rsidDel="00000000" w:rsidP="00000000" w:rsidRDefault="00000000" w:rsidRPr="00000000" w14:paraId="0000003F">
            <w:pPr>
              <w:widowControl w:val="1"/>
              <w:numPr>
                <w:ilvl w:val="0"/>
                <w:numId w:val="1"/>
              </w:numPr>
              <w:spacing w:after="0" w:afterAutospacing="0" w:before="120" w:line="240" w:lineRule="auto"/>
              <w:ind w:left="425.19685039370086" w:hanging="360"/>
              <w:jc w:val="both"/>
            </w:pPr>
            <w:r w:rsidDel="00000000" w:rsidR="00000000" w:rsidRPr="00000000">
              <w:rPr>
                <w:rtl w:val="0"/>
              </w:rPr>
              <w:t xml:space="preserve">A Bachelor’s degree in environmental, social science, law, communications, politics or relevant </w:t>
            </w:r>
            <w:r w:rsidDel="00000000" w:rsidR="00000000" w:rsidRPr="00000000">
              <w:rPr>
                <w:rtl w:val="0"/>
              </w:rPr>
              <w:t xml:space="preserve">field</w:t>
            </w:r>
            <w:r w:rsidDel="00000000" w:rsidR="00000000" w:rsidRPr="00000000">
              <w:rPr>
                <w:rtl w:val="0"/>
              </w:rPr>
              <w:t xml:space="preserve">.</w:t>
            </w:r>
          </w:p>
          <w:p w:rsidR="00000000" w:rsidDel="00000000" w:rsidP="00000000" w:rsidRDefault="00000000" w:rsidRPr="00000000" w14:paraId="00000040">
            <w:pPr>
              <w:widowControl w:val="1"/>
              <w:numPr>
                <w:ilvl w:val="0"/>
                <w:numId w:val="1"/>
              </w:numPr>
              <w:spacing w:after="0" w:afterAutospacing="0" w:before="0" w:beforeAutospacing="0" w:line="240" w:lineRule="auto"/>
              <w:ind w:left="425.19685039370086" w:hanging="360"/>
              <w:jc w:val="both"/>
            </w:pPr>
            <w:r w:rsidDel="00000000" w:rsidR="00000000" w:rsidRPr="00000000">
              <w:rPr>
                <w:rtl w:val="0"/>
              </w:rPr>
              <w:t xml:space="preserve">4+ years of campaigning experience in a related field or sector </w:t>
            </w:r>
          </w:p>
          <w:p w:rsidR="00000000" w:rsidDel="00000000" w:rsidP="00000000" w:rsidRDefault="00000000" w:rsidRPr="00000000" w14:paraId="00000041">
            <w:pPr>
              <w:widowControl w:val="1"/>
              <w:numPr>
                <w:ilvl w:val="0"/>
                <w:numId w:val="1"/>
              </w:numPr>
              <w:spacing w:after="0" w:before="0" w:beforeAutospacing="0" w:line="240" w:lineRule="auto"/>
              <w:ind w:left="425.19685039370086" w:hanging="360"/>
              <w:jc w:val="both"/>
            </w:pPr>
            <w:r w:rsidDel="00000000" w:rsidR="00000000" w:rsidRPr="00000000">
              <w:rPr>
                <w:rtl w:val="0"/>
              </w:rPr>
              <w:t xml:space="preserve">A proven commitment to and understanding of the not-for-profit sector.</w:t>
            </w:r>
          </w:p>
          <w:p w:rsidR="00000000" w:rsidDel="00000000" w:rsidP="00000000" w:rsidRDefault="00000000" w:rsidRPr="00000000" w14:paraId="00000042">
            <w:pPr>
              <w:widowControl w:val="1"/>
              <w:numPr>
                <w:ilvl w:val="0"/>
                <w:numId w:val="1"/>
              </w:numPr>
              <w:spacing w:after="0" w:lineRule="auto"/>
              <w:ind w:left="425.19685039370086" w:hanging="360"/>
            </w:pPr>
            <w:r w:rsidDel="00000000" w:rsidR="00000000" w:rsidRPr="00000000">
              <w:rPr>
                <w:rtl w:val="0"/>
              </w:rPr>
              <w:t xml:space="preserve">Experience in non-violent direct action and consensus techniques.</w:t>
            </w:r>
          </w:p>
          <w:p w:rsidR="00000000" w:rsidDel="00000000" w:rsidP="00000000" w:rsidRDefault="00000000" w:rsidRPr="00000000" w14:paraId="00000043">
            <w:pPr>
              <w:numPr>
                <w:ilvl w:val="0"/>
                <w:numId w:val="3"/>
              </w:numPr>
              <w:spacing w:after="0" w:lineRule="auto"/>
              <w:ind w:left="425.1968503937013" w:hanging="360"/>
            </w:pPr>
            <w:r w:rsidDel="00000000" w:rsidR="00000000" w:rsidRPr="00000000">
              <w:rPr>
                <w:rtl w:val="0"/>
              </w:rPr>
              <w:t xml:space="preserve">Project management experience.</w:t>
            </w:r>
          </w:p>
          <w:p w:rsidR="00000000" w:rsidDel="00000000" w:rsidP="00000000" w:rsidRDefault="00000000" w:rsidRPr="00000000" w14:paraId="00000044">
            <w:pPr>
              <w:numPr>
                <w:ilvl w:val="0"/>
                <w:numId w:val="3"/>
              </w:numPr>
              <w:spacing w:after="0" w:lineRule="auto"/>
              <w:ind w:left="425.1968503937013" w:hanging="360"/>
            </w:pPr>
            <w:r w:rsidDel="00000000" w:rsidR="00000000" w:rsidRPr="00000000">
              <w:rPr>
                <w:rtl w:val="0"/>
              </w:rPr>
              <w:t xml:space="preserve">Experience working with a voluntary board or management committee.</w:t>
            </w:r>
          </w:p>
          <w:p w:rsidR="00000000" w:rsidDel="00000000" w:rsidP="00000000" w:rsidRDefault="00000000" w:rsidRPr="00000000" w14:paraId="00000045">
            <w:pPr>
              <w:numPr>
                <w:ilvl w:val="0"/>
                <w:numId w:val="3"/>
              </w:numPr>
              <w:spacing w:after="0" w:lineRule="auto"/>
              <w:ind w:left="425.1968503937013" w:hanging="360"/>
            </w:pPr>
            <w:r w:rsidDel="00000000" w:rsidR="00000000" w:rsidRPr="00000000">
              <w:rPr>
                <w:rtl w:val="0"/>
              </w:rPr>
              <w:t xml:space="preserve">Competence in finance and budget structures.</w:t>
            </w:r>
          </w:p>
          <w:p w:rsidR="00000000" w:rsidDel="00000000" w:rsidP="00000000" w:rsidRDefault="00000000" w:rsidRPr="00000000" w14:paraId="00000046">
            <w:pPr>
              <w:numPr>
                <w:ilvl w:val="0"/>
                <w:numId w:val="3"/>
              </w:numPr>
              <w:spacing w:after="0" w:lineRule="auto"/>
              <w:ind w:left="425.1968503937013" w:hanging="360"/>
              <w:rPr>
                <w:u w:val="none"/>
              </w:rPr>
            </w:pPr>
            <w:r w:rsidDel="00000000" w:rsidR="00000000" w:rsidRPr="00000000">
              <w:rPr>
                <w:rtl w:val="0"/>
              </w:rPr>
              <w:t xml:space="preserve">Current driver’s licence.</w:t>
            </w:r>
          </w:p>
          <w:p w:rsidR="00000000" w:rsidDel="00000000" w:rsidP="00000000" w:rsidRDefault="00000000" w:rsidRPr="00000000" w14:paraId="00000047">
            <w:pPr>
              <w:pageBreakBefore w:val="0"/>
              <w:spacing w:after="0" w:lineRule="auto"/>
              <w:ind w:left="425.1968503937013" w:firstLine="0"/>
              <w:rPr/>
            </w:pPr>
            <w:r w:rsidDel="00000000" w:rsidR="00000000" w:rsidRPr="00000000">
              <w:rPr>
                <w:rtl w:val="0"/>
              </w:rPr>
            </w:r>
          </w:p>
        </w:tc>
      </w:tr>
    </w:tbl>
    <w:p w:rsidR="00000000" w:rsidDel="00000000" w:rsidP="00000000" w:rsidRDefault="00000000" w:rsidRPr="00000000" w14:paraId="00000048">
      <w:pPr>
        <w:pageBreakBefore w:val="0"/>
        <w:rPr/>
      </w:pP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440.0000000000002" w:top="1440.0000000000002" w:left="1440.0000000000002" w:right="1440.0000000000002"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Karla">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Style w:val="Heading4"/>
      <w:pageBreakBefore w:val="0"/>
      <w:pBdr>
        <w:top w:space="0" w:sz="0" w:val="nil"/>
        <w:left w:space="0" w:sz="0" w:val="nil"/>
        <w:bottom w:space="0" w:sz="0" w:val="nil"/>
        <w:right w:space="0" w:sz="0" w:val="nil"/>
        <w:between w:space="0" w:sz="0" w:val="nil"/>
      </w:pBdr>
      <w:shd w:fill="auto" w:val="clear"/>
      <w:jc w:val="left"/>
      <w:rPr>
        <w:b w:val="1"/>
      </w:rPr>
    </w:pPr>
    <w:bookmarkStart w:colFirst="0" w:colLast="0" w:name="_37o5xb65948r" w:id="4"/>
    <w:bookmarkEnd w:id="4"/>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Style w:val="Heading4"/>
      <w:pageBreakBefore w:val="0"/>
      <w:pBdr>
        <w:top w:space="0" w:sz="0" w:val="nil"/>
        <w:left w:space="0" w:sz="0" w:val="nil"/>
        <w:bottom w:space="0" w:sz="0" w:val="nil"/>
        <w:right w:space="0" w:sz="0" w:val="nil"/>
        <w:between w:space="0" w:sz="0" w:val="nil"/>
      </w:pBdr>
      <w:shd w:fill="auto" w:val="clear"/>
      <w:rPr/>
    </w:pPr>
    <w:bookmarkStart w:colFirst="0" w:colLast="0" w:name="_y0ojsicse0ov" w:id="5"/>
    <w:bookmarkEnd w:id="5"/>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tabs>
        <w:tab w:val="center" w:pos="4320"/>
        <w:tab w:val="right" w:pos="8640"/>
      </w:tabs>
      <w:spacing w:before="120" w:line="240" w:lineRule="auto"/>
      <w:rPr>
        <w:color w:val="073763"/>
        <w:sz w:val="32"/>
        <w:szCs w:val="32"/>
      </w:rPr>
    </w:pPr>
    <w:r w:rsidDel="00000000" w:rsidR="00000000" w:rsidRPr="00000000">
      <w:rPr>
        <w:rtl w:val="0"/>
      </w:rPr>
    </w:r>
  </w:p>
  <w:tbl>
    <w:tblPr>
      <w:tblStyle w:val="Table4"/>
      <w:tblW w:w="9026.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rHeight w:val="52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4C">
          <w:pPr>
            <w:pageBreakBefore w:val="0"/>
            <w:tabs>
              <w:tab w:val="center" w:pos="4320"/>
              <w:tab w:val="right" w:pos="8640"/>
            </w:tabs>
            <w:spacing w:line="240" w:lineRule="auto"/>
            <w:rPr>
              <w:color w:val="001a35"/>
            </w:rPr>
          </w:pPr>
          <w:r w:rsidDel="00000000" w:rsidR="00000000" w:rsidRPr="00000000">
            <w:rPr>
              <w:rtl w:val="0"/>
            </w:rPr>
          </w:r>
        </w:p>
      </w:tc>
      <w:tc>
        <w:tcPr>
          <w:vMerge w:val="restart"/>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4D">
          <w:pPr>
            <w:pageBreakBefore w:val="0"/>
            <w:tabs>
              <w:tab w:val="center" w:pos="4320"/>
              <w:tab w:val="right" w:pos="8640"/>
            </w:tabs>
            <w:spacing w:before="120" w:line="240" w:lineRule="auto"/>
            <w:jc w:val="right"/>
            <w:rPr>
              <w:color w:val="073763"/>
              <w:sz w:val="32"/>
              <w:szCs w:val="32"/>
            </w:rPr>
          </w:pPr>
          <w:r w:rsidDel="00000000" w:rsidR="00000000" w:rsidRPr="00000000">
            <w:rPr>
              <w:color w:val="073763"/>
              <w:sz w:val="32"/>
              <w:szCs w:val="32"/>
            </w:rPr>
            <w:drawing>
              <wp:inline distB="114300" distT="114300" distL="114300" distR="114300">
                <wp:extent cx="1023938" cy="10239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3938" cy="1023938"/>
                        </a:xfrm>
                        <a:prstGeom prst="rect"/>
                        <a:ln/>
                      </pic:spPr>
                    </pic:pic>
                  </a:graphicData>
                </a:graphic>
              </wp:inline>
            </w:drawing>
          </w:r>
          <w:r w:rsidDel="00000000" w:rsidR="00000000" w:rsidRPr="00000000">
            <w:rPr>
              <w:rtl w:val="0"/>
            </w:rPr>
          </w:r>
        </w:p>
      </w:tc>
    </w:tr>
    <w:tr>
      <w:trPr>
        <w:cantSplit w:val="0"/>
        <w:trHeight w:val="144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4E">
          <w:pPr>
            <w:pageBreakBefore w:val="0"/>
            <w:tabs>
              <w:tab w:val="center" w:pos="4320"/>
              <w:tab w:val="right" w:pos="8640"/>
            </w:tabs>
            <w:spacing w:line="240" w:lineRule="auto"/>
            <w:rPr>
              <w:color w:val="001a35"/>
            </w:rPr>
          </w:pP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4F">
          <w:pPr>
            <w:pageBreakBefore w:val="0"/>
            <w:spacing w:line="240" w:lineRule="auto"/>
            <w:rPr>
              <w:color w:val="073763"/>
              <w:sz w:val="32"/>
              <w:szCs w:val="32"/>
            </w:rPr>
          </w:pPr>
          <w:r w:rsidDel="00000000" w:rsidR="00000000" w:rsidRPr="00000000">
            <w:rPr>
              <w:rtl w:val="0"/>
            </w:rPr>
          </w:r>
        </w:p>
      </w:tc>
    </w:tr>
  </w:tbl>
  <w:p w:rsidR="00000000" w:rsidDel="00000000" w:rsidP="00000000" w:rsidRDefault="00000000" w:rsidRPr="00000000" w14:paraId="00000050">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ageBreakBefore w:val="0"/>
      <w:tabs>
        <w:tab w:val="center" w:pos="4320"/>
        <w:tab w:val="right" w:pos="8640"/>
      </w:tabs>
      <w:spacing w:after="0" w:before="120" w:line="240" w:lineRule="auto"/>
      <w:rPr>
        <w:color w:val="073763"/>
        <w:sz w:val="32"/>
        <w:szCs w:val="32"/>
      </w:rPr>
    </w:pPr>
    <w:r w:rsidDel="00000000" w:rsidR="00000000" w:rsidRPr="00000000">
      <w:rPr>
        <w:rtl w:val="0"/>
      </w:rPr>
    </w:r>
  </w:p>
  <w:tbl>
    <w:tblPr>
      <w:tblStyle w:val="Table5"/>
      <w:tblW w:w="9026.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rHeight w:val="52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52">
          <w:pPr>
            <w:pageBreakBefore w:val="0"/>
            <w:tabs>
              <w:tab w:val="center" w:pos="4320"/>
              <w:tab w:val="right" w:pos="8640"/>
            </w:tabs>
            <w:spacing w:after="0" w:line="240" w:lineRule="auto"/>
            <w:rPr>
              <w:color w:val="001a35"/>
            </w:rPr>
          </w:pPr>
          <w:r w:rsidDel="00000000" w:rsidR="00000000" w:rsidRPr="00000000">
            <w:rPr>
              <w:rtl w:val="0"/>
            </w:rPr>
          </w:r>
        </w:p>
      </w:tc>
      <w:tc>
        <w:tcPr>
          <w:vMerge w:val="restart"/>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53">
          <w:pPr>
            <w:pageBreakBefore w:val="0"/>
            <w:tabs>
              <w:tab w:val="center" w:pos="4320"/>
              <w:tab w:val="right" w:pos="8640"/>
            </w:tabs>
            <w:spacing w:after="0" w:before="120" w:line="240" w:lineRule="auto"/>
            <w:jc w:val="right"/>
            <w:rPr>
              <w:color w:val="073763"/>
              <w:sz w:val="32"/>
              <w:szCs w:val="32"/>
            </w:rPr>
          </w:pPr>
          <w:r w:rsidDel="00000000" w:rsidR="00000000" w:rsidRPr="00000000">
            <w:rPr>
              <w:color w:val="073763"/>
              <w:sz w:val="32"/>
              <w:szCs w:val="32"/>
            </w:rPr>
            <w:drawing>
              <wp:inline distB="114300" distT="114300" distL="114300" distR="114300">
                <wp:extent cx="1257300" cy="552450"/>
                <wp:effectExtent b="0" l="0" r="0" t="0"/>
                <wp:docPr id="2" name="image2.png"/>
                <a:graphic>
                  <a:graphicData uri="http://schemas.openxmlformats.org/drawingml/2006/picture">
                    <pic:pic>
                      <pic:nvPicPr>
                        <pic:cNvPr id="0" name="image2.png"/>
                        <pic:cNvPicPr preferRelativeResize="0"/>
                      </pic:nvPicPr>
                      <pic:blipFill>
                        <a:blip r:embed="rId1"/>
                        <a:srcRect b="56060" l="0" r="0" t="0"/>
                        <a:stretch>
                          <a:fillRect/>
                        </a:stretch>
                      </pic:blipFill>
                      <pic:spPr>
                        <a:xfrm>
                          <a:off x="0" y="0"/>
                          <a:ext cx="1257300" cy="552450"/>
                        </a:xfrm>
                        <a:prstGeom prst="rect"/>
                        <a:ln/>
                      </pic:spPr>
                    </pic:pic>
                  </a:graphicData>
                </a:graphic>
              </wp:inline>
            </w:drawing>
          </w:r>
          <w:r w:rsidDel="00000000" w:rsidR="00000000" w:rsidRPr="00000000">
            <w:rPr>
              <w:rtl w:val="0"/>
            </w:rPr>
          </w:r>
        </w:p>
      </w:tc>
    </w:tr>
    <w:tr>
      <w:trPr>
        <w:cantSplit w:val="0"/>
        <w:trHeight w:val="5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54">
          <w:pPr>
            <w:pageBreakBefore w:val="0"/>
            <w:tabs>
              <w:tab w:val="center" w:pos="4320"/>
              <w:tab w:val="right" w:pos="8640"/>
            </w:tabs>
            <w:spacing w:line="240" w:lineRule="auto"/>
            <w:rPr>
              <w:color w:val="001a35"/>
            </w:rPr>
          </w:pP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55">
          <w:pPr>
            <w:pageBreakBefore w:val="0"/>
            <w:spacing w:after="0" w:line="240" w:lineRule="auto"/>
            <w:rPr>
              <w:color w:val="073763"/>
              <w:sz w:val="32"/>
              <w:szCs w:val="32"/>
            </w:rPr>
          </w:pPr>
          <w:r w:rsidDel="00000000" w:rsidR="00000000" w:rsidRPr="00000000">
            <w:rPr>
              <w:rtl w:val="0"/>
            </w:rPr>
          </w:r>
        </w:p>
      </w:tc>
    </w:tr>
  </w:tbl>
  <w:p w:rsidR="00000000" w:rsidDel="00000000" w:rsidP="00000000" w:rsidRDefault="00000000" w:rsidRPr="00000000" w14:paraId="0000005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5.1968503937008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425.1968503937013"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Karla" w:cs="Karla" w:eastAsia="Karla" w:hAnsi="Karla"/>
        <w:lang w:val="en_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color w:val="1eaf4b"/>
      <w:sz w:val="36"/>
      <w:szCs w:val="36"/>
    </w:rPr>
  </w:style>
  <w:style w:type="paragraph" w:styleId="Heading2">
    <w:name w:val="heading 2"/>
    <w:basedOn w:val="Normal"/>
    <w:next w:val="Normal"/>
    <w:pPr>
      <w:pageBreakBefore w:val="0"/>
      <w:spacing w:before="0" w:line="276" w:lineRule="auto"/>
    </w:pPr>
    <w:rPr>
      <w:rFonts w:ascii="Karla" w:cs="Karla" w:eastAsia="Karla" w:hAnsi="Karla"/>
      <w:b w:val="1"/>
      <w:color w:val="000000"/>
      <w:sz w:val="28"/>
      <w:szCs w:val="28"/>
    </w:rPr>
  </w:style>
  <w:style w:type="paragraph" w:styleId="Heading3">
    <w:name w:val="heading 3"/>
    <w:basedOn w:val="Normal"/>
    <w:next w:val="Normal"/>
    <w:pPr>
      <w:pageBreakBefore w:val="0"/>
      <w:spacing w:before="0" w:line="276" w:lineRule="auto"/>
    </w:pPr>
    <w:rPr>
      <w:rFonts w:ascii="Karla" w:cs="Karla" w:eastAsia="Karla" w:hAnsi="Karla"/>
      <w:color w:val="1eaf4b"/>
      <w:sz w:val="24"/>
      <w:szCs w:val="24"/>
    </w:rPr>
  </w:style>
  <w:style w:type="paragraph" w:styleId="Heading4">
    <w:name w:val="heading 4"/>
    <w:basedOn w:val="Normal"/>
    <w:next w:val="Normal"/>
    <w:pPr>
      <w:pageBreakBefore w:val="0"/>
      <w:spacing w:after="100" w:before="0" w:line="240" w:lineRule="auto"/>
    </w:pPr>
    <w:rPr>
      <w:rFonts w:ascii="Karla" w:cs="Karla" w:eastAsia="Karla" w:hAnsi="Karla"/>
      <w:b w:val="1"/>
      <w:color w:val="001a35"/>
      <w:sz w:val="24"/>
      <w:szCs w:val="24"/>
    </w:rPr>
  </w:style>
  <w:style w:type="paragraph" w:styleId="Heading5">
    <w:name w:val="heading 5"/>
    <w:basedOn w:val="Normal"/>
    <w:next w:val="Normal"/>
    <w:pPr>
      <w:keepNext w:val="1"/>
      <w:keepLines w:val="1"/>
      <w:pageBreakBefore w:val="0"/>
      <w:spacing w:before="160" w:line="276" w:lineRule="auto"/>
    </w:pPr>
    <w:rPr>
      <w:rFonts w:ascii="Karla" w:cs="Karla" w:eastAsia="Karla" w:hAnsi="Karla"/>
    </w:rPr>
  </w:style>
  <w:style w:type="paragraph" w:styleId="Heading6">
    <w:name w:val="heading 6"/>
    <w:basedOn w:val="Normal"/>
    <w:next w:val="Normal"/>
    <w:pPr>
      <w:keepNext w:val="1"/>
      <w:keepLines w:val="1"/>
      <w:pageBreakBefore w:val="0"/>
      <w:spacing w:before="160" w:line="276" w:lineRule="auto"/>
    </w:pPr>
    <w:rPr>
      <w:rFonts w:ascii="Karla" w:cs="Karla" w:eastAsia="Karla" w:hAnsi="Karla"/>
      <w:i w:val="1"/>
      <w:color w:val="1eaf4b"/>
    </w:rPr>
  </w:style>
  <w:style w:type="paragraph" w:styleId="Title">
    <w:name w:val="Title"/>
    <w:basedOn w:val="Normal"/>
    <w:next w:val="Normal"/>
    <w:pPr>
      <w:pageBreakBefore w:val="0"/>
      <w:spacing w:before="0" w:line="240" w:lineRule="auto"/>
    </w:pPr>
    <w:rPr>
      <w:rFonts w:ascii="Roboto" w:cs="Roboto" w:eastAsia="Roboto" w:hAnsi="Roboto"/>
      <w:b w:val="1"/>
      <w:color w:val="1eaf4b"/>
      <w:sz w:val="60"/>
      <w:szCs w:val="60"/>
    </w:rPr>
  </w:style>
  <w:style w:type="paragraph" w:styleId="Subtitle">
    <w:name w:val="Subtitle"/>
    <w:basedOn w:val="Normal"/>
    <w:next w:val="Normal"/>
    <w:pPr>
      <w:pageBreakBefore w:val="0"/>
      <w:spacing w:before="0" w:line="276" w:lineRule="auto"/>
    </w:pPr>
    <w:rPr>
      <w:rFonts w:ascii="Karla" w:cs="Karla" w:eastAsia="Karla" w:hAnsi="Karla"/>
      <w:i w:val="1"/>
      <w:color w:val="999999"/>
      <w:sz w:val="18"/>
      <w:szCs w:val="1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Karla-italic.ttf"/><Relationship Id="rId10" Type="http://schemas.openxmlformats.org/officeDocument/2006/relationships/font" Target="fonts/Karla-bold.ttf"/><Relationship Id="rId12" Type="http://schemas.openxmlformats.org/officeDocument/2006/relationships/font" Target="fonts/Karla-boldItalic.ttf"/><Relationship Id="rId9" Type="http://schemas.openxmlformats.org/officeDocument/2006/relationships/font" Target="fonts/Karla-regular.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